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B11E0B" w14:textId="77777777" w:rsidR="00F256FA" w:rsidRPr="008D7567" w:rsidRDefault="00F13130" w:rsidP="008A1948">
      <w:pPr>
        <w:pStyle w:val="p"/>
        <w:shd w:val="clear" w:color="auto" w:fill="FFFFFF"/>
        <w:spacing w:before="166" w:beforeAutospacing="0" w:after="166" w:afterAutospacing="0" w:line="480" w:lineRule="auto"/>
        <w:jc w:val="center"/>
      </w:pPr>
    </w:p>
    <w:p w14:paraId="57DA733F" w14:textId="77777777" w:rsidR="00F256FA" w:rsidRPr="008D7567" w:rsidRDefault="00F13130" w:rsidP="008A1948">
      <w:pPr>
        <w:pStyle w:val="p"/>
        <w:shd w:val="clear" w:color="auto" w:fill="FFFFFF"/>
        <w:spacing w:before="166" w:beforeAutospacing="0" w:after="166" w:afterAutospacing="0" w:line="480" w:lineRule="auto"/>
        <w:jc w:val="center"/>
      </w:pPr>
    </w:p>
    <w:p w14:paraId="72841D43" w14:textId="77777777" w:rsidR="00F256FA" w:rsidRPr="008D7567" w:rsidRDefault="00F13130" w:rsidP="008A1948">
      <w:pPr>
        <w:pStyle w:val="p"/>
        <w:shd w:val="clear" w:color="auto" w:fill="FFFFFF"/>
        <w:spacing w:before="166" w:beforeAutospacing="0" w:after="166" w:afterAutospacing="0" w:line="480" w:lineRule="auto"/>
        <w:jc w:val="center"/>
      </w:pPr>
    </w:p>
    <w:p w14:paraId="51638A53" w14:textId="77777777" w:rsidR="00AF21DE" w:rsidRPr="008D7567" w:rsidRDefault="00603E05" w:rsidP="008A1948">
      <w:pPr>
        <w:pStyle w:val="p"/>
        <w:shd w:val="clear" w:color="auto" w:fill="FFFFFF"/>
        <w:spacing w:before="166" w:beforeAutospacing="0" w:after="166" w:afterAutospacing="0" w:line="480" w:lineRule="auto"/>
        <w:jc w:val="center"/>
      </w:pPr>
      <w:r w:rsidRPr="008D7567">
        <w:t>Blood Contamination</w:t>
      </w:r>
    </w:p>
    <w:p w14:paraId="72BE7D12" w14:textId="77777777" w:rsidR="00AF21DE" w:rsidRPr="008D7567" w:rsidRDefault="00603E05" w:rsidP="008A1948">
      <w:pPr>
        <w:pStyle w:val="p"/>
        <w:shd w:val="clear" w:color="auto" w:fill="FFFFFF"/>
        <w:spacing w:before="166" w:beforeAutospacing="0" w:after="166" w:afterAutospacing="0" w:line="480" w:lineRule="auto"/>
        <w:jc w:val="center"/>
      </w:pPr>
      <w:r w:rsidRPr="008D7567">
        <w:t>Insert Name Here</w:t>
      </w:r>
    </w:p>
    <w:p w14:paraId="10D12376" w14:textId="77777777" w:rsidR="00AF21DE" w:rsidRPr="008D7567" w:rsidRDefault="00603E05" w:rsidP="008A1948">
      <w:pPr>
        <w:pStyle w:val="p"/>
        <w:shd w:val="clear" w:color="auto" w:fill="FFFFFF"/>
        <w:spacing w:before="166" w:beforeAutospacing="0" w:after="166" w:afterAutospacing="0" w:line="480" w:lineRule="auto"/>
        <w:jc w:val="center"/>
      </w:pPr>
      <w:r w:rsidRPr="008D7567">
        <w:t>Institutional Affiliations</w:t>
      </w:r>
    </w:p>
    <w:p w14:paraId="424A2C86"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329AF589"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7DCA4EF9"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5544AE3A"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46DCC601"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1EA4F386"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391F2962"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7B8355F0"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7884C102"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17ED6E6D"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0AB21974"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6D87200D"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73E5734D"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4485566C"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4A51340B" w14:textId="77777777" w:rsidR="00F256FA" w:rsidRPr="008D7567" w:rsidRDefault="00F13130" w:rsidP="008A1948">
      <w:pPr>
        <w:pStyle w:val="NormalWeb"/>
        <w:shd w:val="clear" w:color="auto" w:fill="FFFFFF"/>
        <w:spacing w:before="0" w:beforeAutospacing="0" w:after="0" w:afterAutospacing="0" w:line="480" w:lineRule="auto"/>
        <w:textAlignment w:val="baseline"/>
      </w:pPr>
    </w:p>
    <w:p w14:paraId="2846566D" w14:textId="77777777" w:rsidR="00F256FA" w:rsidRPr="008D7567" w:rsidRDefault="00603E05" w:rsidP="008A1948">
      <w:pPr>
        <w:pStyle w:val="NormalWeb"/>
        <w:shd w:val="clear" w:color="auto" w:fill="FFFFFF"/>
        <w:spacing w:before="0" w:beforeAutospacing="0" w:after="0" w:afterAutospacing="0" w:line="480" w:lineRule="auto"/>
        <w:jc w:val="center"/>
        <w:textAlignment w:val="baseline"/>
      </w:pPr>
      <w:r w:rsidRPr="008D7567">
        <w:lastRenderedPageBreak/>
        <w:t>Blood contamination</w:t>
      </w:r>
    </w:p>
    <w:p w14:paraId="2D6E5191" w14:textId="77777777" w:rsidR="009219D8" w:rsidRPr="008D7567" w:rsidRDefault="00603E05" w:rsidP="008A1948">
      <w:pPr>
        <w:pStyle w:val="NormalWeb"/>
        <w:shd w:val="clear" w:color="auto" w:fill="FFFFFF"/>
        <w:spacing w:before="0" w:beforeAutospacing="0" w:after="0" w:afterAutospacing="0" w:line="480" w:lineRule="auto"/>
        <w:ind w:firstLine="720"/>
        <w:jc w:val="center"/>
        <w:textAlignment w:val="baseline"/>
        <w:rPr>
          <w:b/>
        </w:rPr>
      </w:pPr>
      <w:r w:rsidRPr="008D7567">
        <w:rPr>
          <w:b/>
        </w:rPr>
        <w:t>Review of Literature</w:t>
      </w:r>
    </w:p>
    <w:p w14:paraId="7C3BE377" w14:textId="192CA4C0" w:rsidR="0010371F" w:rsidRPr="008D7567" w:rsidRDefault="006E2DB6" w:rsidP="008A1948">
      <w:pPr>
        <w:pStyle w:val="NormalWeb"/>
        <w:shd w:val="clear" w:color="auto" w:fill="FFFFFF"/>
        <w:spacing w:before="0" w:beforeAutospacing="0" w:after="0" w:afterAutospacing="0" w:line="480" w:lineRule="auto"/>
        <w:ind w:firstLine="720"/>
        <w:textAlignment w:val="baseline"/>
      </w:pPr>
      <w:r>
        <w:t xml:space="preserve">The research done by </w:t>
      </w:r>
      <w:r>
        <w:rPr>
          <w:noProof/>
          <w:lang w:val="en-GB"/>
        </w:rPr>
        <w:t xml:space="preserve">Hall &amp; Lyman </w:t>
      </w:r>
      <w:r w:rsidR="00FB1A42">
        <w:rPr>
          <w:noProof/>
          <w:lang w:val="en-GB"/>
        </w:rPr>
        <w:t>(</w:t>
      </w:r>
      <w:r w:rsidR="00FB1A42" w:rsidRPr="008D7567">
        <w:rPr>
          <w:noProof/>
          <w:lang w:val="en-GB"/>
        </w:rPr>
        <w:t>2006)</w:t>
      </w:r>
      <w:r w:rsidR="00603E05" w:rsidRPr="008D7567">
        <w:t xml:space="preserve"> found that the peripheral blood cultures are usually </w:t>
      </w:r>
      <w:r w:rsidR="00D22D80">
        <w:t>obtained</w:t>
      </w:r>
      <w:r w:rsidR="00603E05" w:rsidRPr="008D7567">
        <w:t xml:space="preserve"> in the pediatric popul</w:t>
      </w:r>
      <w:r w:rsidR="00D22D80">
        <w:t>ace</w:t>
      </w:r>
      <w:r w:rsidR="00603E05" w:rsidRPr="008D7567">
        <w:t xml:space="preserve"> to help in the identification of a treatable pathogen in </w:t>
      </w:r>
      <w:r w:rsidR="00D22D80">
        <w:t>when there is a</w:t>
      </w:r>
      <w:r w:rsidR="00603E05" w:rsidRPr="008D7567">
        <w:t xml:space="preserve"> bacterial infection that is suspected to be present in the blood. Typically, the sample collection of cultures is taken as </w:t>
      </w:r>
      <w:proofErr w:type="spellStart"/>
      <w:r w:rsidR="00603E05" w:rsidRPr="008D7567">
        <w:t>nonstandardized</w:t>
      </w:r>
      <w:proofErr w:type="spellEnd"/>
      <w:r w:rsidR="00603E05" w:rsidRPr="008D7567">
        <w:t xml:space="preserve"> with a lot of misconceptions about how sterile the technique used is. This brings the issues of contamination of the blood cultures mainly by </w:t>
      </w:r>
      <w:r w:rsidR="00D22D80">
        <w:t>introducing native skin bacteria</w:t>
      </w:r>
      <w:r w:rsidR="00603E05" w:rsidRPr="008D7567">
        <w:t xml:space="preserve"> into the sample </w:t>
      </w:r>
      <w:bookmarkStart w:id="0" w:name="_GoBack"/>
      <w:bookmarkEnd w:id="0"/>
      <w:r w:rsidR="00603E05" w:rsidRPr="008D7567">
        <w:t>from the clinician or the patient. Apart from this undeliberate introduction of native skin bacteria, there are chances that the blood culture gets accidental contamination from inappropriate preparation and placement of supplies. This contaminates typically the materials which are used in the collection of the specimen</w:t>
      </w:r>
      <w:sdt>
        <w:sdtPr>
          <w:id w:val="124669522"/>
          <w:citation/>
        </w:sdtPr>
        <w:sdtEndPr/>
        <w:sdtContent>
          <w:r w:rsidR="00BF1F56">
            <w:fldChar w:fldCharType="begin"/>
          </w:r>
          <w:r w:rsidR="00BF1F56">
            <w:rPr>
              <w:lang w:val="en-GB"/>
            </w:rPr>
            <w:instrText xml:space="preserve"> CITATION Hal061 \l 2057 </w:instrText>
          </w:r>
          <w:r w:rsidR="00BF1F56">
            <w:fldChar w:fldCharType="separate"/>
          </w:r>
          <w:r w:rsidR="00BF1F56">
            <w:rPr>
              <w:noProof/>
              <w:lang w:val="en-GB"/>
            </w:rPr>
            <w:t xml:space="preserve"> (Hall &amp; Lyman , 2006)</w:t>
          </w:r>
          <w:r w:rsidR="00BF1F56">
            <w:fldChar w:fldCharType="end"/>
          </w:r>
        </w:sdtContent>
      </w:sdt>
      <w:r w:rsidR="00603E05" w:rsidRPr="008D7567">
        <w:t>.</w:t>
      </w:r>
    </w:p>
    <w:p w14:paraId="2FC1D46A" w14:textId="386A1252" w:rsidR="00A927A4" w:rsidRPr="008D7567" w:rsidRDefault="00603E05" w:rsidP="008A1948">
      <w:pPr>
        <w:pStyle w:val="NormalWeb"/>
        <w:shd w:val="clear" w:color="auto" w:fill="FFFFFF"/>
        <w:spacing w:before="0" w:beforeAutospacing="0" w:after="0" w:afterAutospacing="0" w:line="480" w:lineRule="auto"/>
        <w:ind w:firstLine="720"/>
        <w:textAlignment w:val="baseline"/>
      </w:pPr>
      <w:r w:rsidRPr="008D7567">
        <w:t xml:space="preserve">According to </w:t>
      </w:r>
      <w:r w:rsidR="00BF1F56" w:rsidRPr="008D7567">
        <w:rPr>
          <w:noProof/>
          <w:lang w:val="en-GB"/>
        </w:rPr>
        <w:t>W</w:t>
      </w:r>
      <w:r w:rsidR="00BF1F56">
        <w:rPr>
          <w:noProof/>
          <w:lang w:val="en-GB"/>
        </w:rPr>
        <w:t>eddle, Jackson, &amp; Selvarangan (</w:t>
      </w:r>
      <w:r w:rsidR="00BF1F56" w:rsidRPr="008D7567">
        <w:rPr>
          <w:noProof/>
          <w:lang w:val="en-GB"/>
        </w:rPr>
        <w:t>2011)</w:t>
      </w:r>
      <w:r w:rsidR="00BF1F56">
        <w:rPr>
          <w:noProof/>
          <w:lang w:val="en-GB"/>
        </w:rPr>
        <w:t xml:space="preserve"> </w:t>
      </w:r>
      <w:r w:rsidRPr="008D7567">
        <w:t>blood culture contamination is normally something that is hard to prevent completely, however, contamination of up to 2% is normally allowed.  The emergency departments in different hospitals have been recorded to have the highest percentage of blood contamination. The last research showed that they have up to 11% blood contamination which is unacceptable.  It has been found that the blood culture contamination is high among the young patients. The increased level of blood contamination is also related to the experience of the clinician. A clinician with many years of experience tends to have a very minimal amount of contamination as compared to those who have just started working</w:t>
      </w:r>
      <w:sdt>
        <w:sdtPr>
          <w:id w:val="1149937620"/>
          <w:citation/>
        </w:sdtPr>
        <w:sdtEndPr/>
        <w:sdtContent>
          <w:r w:rsidR="007754F0">
            <w:fldChar w:fldCharType="begin"/>
          </w:r>
          <w:r w:rsidR="007754F0">
            <w:rPr>
              <w:lang w:val="en-GB"/>
            </w:rPr>
            <w:instrText xml:space="preserve"> CITATION Wed11 \l 2057 </w:instrText>
          </w:r>
          <w:r w:rsidR="007754F0">
            <w:fldChar w:fldCharType="separate"/>
          </w:r>
          <w:r w:rsidR="007754F0">
            <w:rPr>
              <w:noProof/>
              <w:lang w:val="en-GB"/>
            </w:rPr>
            <w:t xml:space="preserve"> (Weddle, Jackson, &amp; Selvarangan , 2011)</w:t>
          </w:r>
          <w:r w:rsidR="007754F0">
            <w:fldChar w:fldCharType="end"/>
          </w:r>
        </w:sdtContent>
      </w:sdt>
      <w:r w:rsidRPr="008D7567">
        <w:t xml:space="preserve">. </w:t>
      </w:r>
    </w:p>
    <w:p w14:paraId="61BDDF76" w14:textId="77777777" w:rsidR="00A927A4" w:rsidRPr="008D7567" w:rsidRDefault="00603E05" w:rsidP="008A1948">
      <w:pPr>
        <w:pStyle w:val="NormalWeb"/>
        <w:shd w:val="clear" w:color="auto" w:fill="FFFFFF"/>
        <w:spacing w:before="0" w:beforeAutospacing="0" w:after="0" w:afterAutospacing="0" w:line="480" w:lineRule="auto"/>
        <w:jc w:val="center"/>
        <w:textAlignment w:val="baseline"/>
        <w:rPr>
          <w:b/>
        </w:rPr>
      </w:pPr>
      <w:r w:rsidRPr="008D7567">
        <w:rPr>
          <w:b/>
        </w:rPr>
        <w:t>The ANTTI Conceptual framework</w:t>
      </w:r>
    </w:p>
    <w:p w14:paraId="4C328FE7" w14:textId="77777777" w:rsidR="00A927A4" w:rsidRPr="008D7567" w:rsidRDefault="00603E05" w:rsidP="008A1948">
      <w:pPr>
        <w:pStyle w:val="NormalWeb"/>
        <w:shd w:val="clear" w:color="auto" w:fill="FFFFFF"/>
        <w:spacing w:before="0" w:beforeAutospacing="0" w:after="0" w:afterAutospacing="0" w:line="480" w:lineRule="auto"/>
        <w:ind w:firstLine="720"/>
        <w:textAlignment w:val="baseline"/>
      </w:pPr>
      <w:r w:rsidRPr="008D7567">
        <w:t>According to the research done by DOH in 2003, it was found that hospital-acquired infection is one phenomenon that affects every single hospital with very many causes. The hospitals have devised many ways to ensure that preventive measures are taken into consideration to eliminate the issues of blood contamination. Some of these preventive mechanism include enhanced hygiene in the hospitals, as well as antibiotic prescriptions. According to this technique, it dictates that; (1) the clinical procedures must always foster the principles of asepsis. (2) The care providers must undergo training for aseptic technique. (3) There should be a uniform technique in all facilities. (4) The technique should be monitored through audit</w:t>
      </w:r>
      <w:sdt>
        <w:sdtPr>
          <w:id w:val="997377680"/>
          <w:citation/>
        </w:sdtPr>
        <w:sdtEndPr/>
        <w:sdtContent>
          <w:r w:rsidRPr="008D7567">
            <w:fldChar w:fldCharType="begin"/>
          </w:r>
          <w:r w:rsidRPr="008D7567">
            <w:rPr>
              <w:lang w:val="en-GB"/>
            </w:rPr>
            <w:instrText xml:space="preserve"> CITATION The111 \l 2057 </w:instrText>
          </w:r>
          <w:r w:rsidRPr="008D7567">
            <w:fldChar w:fldCharType="separate"/>
          </w:r>
          <w:r w:rsidRPr="008D7567">
            <w:rPr>
              <w:noProof/>
              <w:lang w:val="en-GB"/>
            </w:rPr>
            <w:t xml:space="preserve"> (The Association of Safe Aseptic Practice (ASAP), 2011)</w:t>
          </w:r>
          <w:r w:rsidRPr="008D7567">
            <w:fldChar w:fldCharType="end"/>
          </w:r>
        </w:sdtContent>
      </w:sdt>
      <w:r w:rsidRPr="008D7567">
        <w:t>.</w:t>
      </w:r>
    </w:p>
    <w:p w14:paraId="5F1B08DD" w14:textId="77777777" w:rsidR="00157227" w:rsidRPr="008D7567" w:rsidRDefault="00603E05" w:rsidP="008A1948">
      <w:pPr>
        <w:pStyle w:val="NormalWeb"/>
        <w:shd w:val="clear" w:color="auto" w:fill="FFFFFF"/>
        <w:spacing w:before="0" w:beforeAutospacing="0" w:after="0" w:afterAutospacing="0" w:line="480" w:lineRule="auto"/>
        <w:jc w:val="center"/>
        <w:textAlignment w:val="baseline"/>
        <w:rPr>
          <w:b/>
        </w:rPr>
      </w:pPr>
      <w:r w:rsidRPr="008D7567">
        <w:rPr>
          <w:b/>
        </w:rPr>
        <w:t>References</w:t>
      </w:r>
    </w:p>
    <w:p w14:paraId="2B2FE97E" w14:textId="77777777" w:rsidR="008A1948" w:rsidRPr="008D7567" w:rsidRDefault="00603E05" w:rsidP="008A1948">
      <w:pPr>
        <w:pStyle w:val="Bibliography"/>
        <w:spacing w:line="480" w:lineRule="auto"/>
        <w:ind w:left="720" w:hanging="720"/>
        <w:rPr>
          <w:rFonts w:ascii="Times New Roman" w:hAnsi="Times New Roman" w:cs="Times New Roman"/>
          <w:noProof/>
          <w:sz w:val="24"/>
          <w:szCs w:val="24"/>
          <w:lang w:val="en-GB"/>
        </w:rPr>
      </w:pPr>
      <w:r w:rsidRPr="008D7567">
        <w:rPr>
          <w:rFonts w:ascii="Times New Roman" w:hAnsi="Times New Roman" w:cs="Times New Roman"/>
          <w:sz w:val="24"/>
          <w:szCs w:val="24"/>
        </w:rPr>
        <w:fldChar w:fldCharType="begin"/>
      </w:r>
      <w:r w:rsidRPr="008D7567">
        <w:rPr>
          <w:rFonts w:ascii="Times New Roman" w:hAnsi="Times New Roman" w:cs="Times New Roman"/>
          <w:sz w:val="24"/>
          <w:szCs w:val="24"/>
          <w:lang w:val="en-GB"/>
        </w:rPr>
        <w:instrText xml:space="preserve"> BIBLIOGRAPHY  \l 2057 </w:instrText>
      </w:r>
      <w:r w:rsidRPr="008D7567">
        <w:rPr>
          <w:rFonts w:ascii="Times New Roman" w:hAnsi="Times New Roman" w:cs="Times New Roman"/>
          <w:sz w:val="24"/>
          <w:szCs w:val="24"/>
        </w:rPr>
        <w:fldChar w:fldCharType="separate"/>
      </w:r>
      <w:r w:rsidRPr="008D7567">
        <w:rPr>
          <w:rFonts w:ascii="Times New Roman" w:hAnsi="Times New Roman" w:cs="Times New Roman"/>
          <w:noProof/>
          <w:sz w:val="24"/>
          <w:szCs w:val="24"/>
          <w:lang w:val="en-GB"/>
        </w:rPr>
        <w:t xml:space="preserve">Hall, K., &amp; Lyman , J. (2006). Updated review of blood culture contamination. </w:t>
      </w:r>
      <w:r w:rsidRPr="008D7567">
        <w:rPr>
          <w:rFonts w:ascii="Times New Roman" w:hAnsi="Times New Roman" w:cs="Times New Roman"/>
          <w:i/>
          <w:iCs/>
          <w:noProof/>
          <w:sz w:val="24"/>
          <w:szCs w:val="24"/>
          <w:lang w:val="en-GB"/>
        </w:rPr>
        <w:t>Clin Microbiol Rev</w:t>
      </w:r>
      <w:r w:rsidRPr="008D7567">
        <w:rPr>
          <w:rFonts w:ascii="Times New Roman" w:hAnsi="Times New Roman" w:cs="Times New Roman"/>
          <w:noProof/>
          <w:sz w:val="24"/>
          <w:szCs w:val="24"/>
          <w:lang w:val="en-GB"/>
        </w:rPr>
        <w:t>, 788–802.</w:t>
      </w:r>
    </w:p>
    <w:p w14:paraId="681D4D21" w14:textId="77777777" w:rsidR="008A1948" w:rsidRPr="008D7567" w:rsidRDefault="00603E05" w:rsidP="008A1948">
      <w:pPr>
        <w:pStyle w:val="Bibliography"/>
        <w:spacing w:line="480" w:lineRule="auto"/>
        <w:ind w:left="720" w:hanging="720"/>
        <w:rPr>
          <w:rFonts w:ascii="Times New Roman" w:hAnsi="Times New Roman" w:cs="Times New Roman"/>
          <w:noProof/>
          <w:sz w:val="24"/>
          <w:szCs w:val="24"/>
          <w:lang w:val="en-GB"/>
        </w:rPr>
      </w:pPr>
      <w:r w:rsidRPr="008D7567">
        <w:rPr>
          <w:rFonts w:ascii="Times New Roman" w:hAnsi="Times New Roman" w:cs="Times New Roman"/>
          <w:noProof/>
          <w:sz w:val="24"/>
          <w:szCs w:val="24"/>
          <w:lang w:val="en-GB"/>
        </w:rPr>
        <w:t xml:space="preserve">The Association of Safe Aseptic Practice (ASAP). (2011). </w:t>
      </w:r>
      <w:r w:rsidRPr="008D7567">
        <w:rPr>
          <w:rFonts w:ascii="Times New Roman" w:hAnsi="Times New Roman" w:cs="Times New Roman"/>
          <w:i/>
          <w:iCs/>
          <w:noProof/>
          <w:sz w:val="24"/>
          <w:szCs w:val="24"/>
          <w:lang w:val="en-GB"/>
        </w:rPr>
        <w:t>ANTT Theoretical Framework For Clinical Practice.</w:t>
      </w:r>
      <w:r w:rsidRPr="008D7567">
        <w:rPr>
          <w:rFonts w:ascii="Times New Roman" w:hAnsi="Times New Roman" w:cs="Times New Roman"/>
          <w:noProof/>
          <w:sz w:val="24"/>
          <w:szCs w:val="24"/>
          <w:lang w:val="en-GB"/>
        </w:rPr>
        <w:t xml:space="preserve"> London: The Association of Safe Aseptic Practice (ASAP) .</w:t>
      </w:r>
    </w:p>
    <w:p w14:paraId="4724DA55" w14:textId="77777777" w:rsidR="008A1948" w:rsidRPr="008D7567" w:rsidRDefault="00603E05" w:rsidP="008A1948">
      <w:pPr>
        <w:pStyle w:val="Bibliography"/>
        <w:spacing w:line="480" w:lineRule="auto"/>
        <w:ind w:left="720" w:hanging="720"/>
        <w:rPr>
          <w:rFonts w:ascii="Times New Roman" w:hAnsi="Times New Roman" w:cs="Times New Roman"/>
          <w:noProof/>
          <w:sz w:val="24"/>
          <w:szCs w:val="24"/>
          <w:lang w:val="en-GB"/>
        </w:rPr>
      </w:pPr>
      <w:r w:rsidRPr="008D7567">
        <w:rPr>
          <w:rFonts w:ascii="Times New Roman" w:hAnsi="Times New Roman" w:cs="Times New Roman"/>
          <w:noProof/>
          <w:sz w:val="24"/>
          <w:szCs w:val="24"/>
          <w:lang w:val="en-GB"/>
        </w:rPr>
        <w:t xml:space="preserve">Weddle, G., Jackson, M., &amp; Selvarangan , R. (2011). Reducing blood culture contamination in a pediatric emergency department. </w:t>
      </w:r>
      <w:r w:rsidRPr="008D7567">
        <w:rPr>
          <w:rFonts w:ascii="Times New Roman" w:hAnsi="Times New Roman" w:cs="Times New Roman"/>
          <w:i/>
          <w:iCs/>
          <w:noProof/>
          <w:sz w:val="24"/>
          <w:szCs w:val="24"/>
          <w:lang w:val="en-GB"/>
        </w:rPr>
        <w:t>Pediatr Emerg Care</w:t>
      </w:r>
      <w:r w:rsidRPr="008D7567">
        <w:rPr>
          <w:rFonts w:ascii="Times New Roman" w:hAnsi="Times New Roman" w:cs="Times New Roman"/>
          <w:noProof/>
          <w:sz w:val="24"/>
          <w:szCs w:val="24"/>
          <w:lang w:val="en-GB"/>
        </w:rPr>
        <w:t>, 179–181.</w:t>
      </w:r>
    </w:p>
    <w:p w14:paraId="6BD8C592" w14:textId="77777777" w:rsidR="004E2C12" w:rsidRPr="008D7567" w:rsidRDefault="00603E05" w:rsidP="008A1948">
      <w:pPr>
        <w:pStyle w:val="NormalWeb"/>
        <w:shd w:val="clear" w:color="auto" w:fill="FFFFFF"/>
        <w:spacing w:before="0" w:beforeAutospacing="0" w:after="0" w:afterAutospacing="0" w:line="480" w:lineRule="auto"/>
        <w:textAlignment w:val="baseline"/>
      </w:pPr>
      <w:r w:rsidRPr="008D7567">
        <w:fldChar w:fldCharType="end"/>
      </w:r>
    </w:p>
    <w:p w14:paraId="762051F2" w14:textId="77777777" w:rsidR="009A591A" w:rsidRPr="008D7567" w:rsidRDefault="00F13130" w:rsidP="008A1948">
      <w:pPr>
        <w:pStyle w:val="NormalWeb"/>
        <w:shd w:val="clear" w:color="auto" w:fill="FFFFFF"/>
        <w:spacing w:before="0" w:beforeAutospacing="0" w:after="0" w:afterAutospacing="0" w:line="480" w:lineRule="auto"/>
        <w:textAlignment w:val="baseline"/>
      </w:pPr>
    </w:p>
    <w:sectPr w:rsidR="009A591A" w:rsidRPr="008D7567" w:rsidSect="00675A7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90F937" w14:textId="77777777" w:rsidR="00F13130" w:rsidRDefault="00F13130">
      <w:pPr>
        <w:spacing w:after="0" w:line="240" w:lineRule="auto"/>
      </w:pPr>
      <w:r>
        <w:separator/>
      </w:r>
    </w:p>
  </w:endnote>
  <w:endnote w:type="continuationSeparator" w:id="0">
    <w:p w14:paraId="39674E50" w14:textId="77777777" w:rsidR="00F13130" w:rsidRDefault="00F13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ED7215" w14:textId="77777777" w:rsidR="00F13130" w:rsidRDefault="00F13130">
      <w:pPr>
        <w:spacing w:after="0" w:line="240" w:lineRule="auto"/>
      </w:pPr>
      <w:r>
        <w:separator/>
      </w:r>
    </w:p>
  </w:footnote>
  <w:footnote w:type="continuationSeparator" w:id="0">
    <w:p w14:paraId="712A2936" w14:textId="77777777" w:rsidR="00F13130" w:rsidRDefault="00F131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CA17BE" w14:textId="77777777" w:rsidR="00675A70" w:rsidRDefault="00603E05" w:rsidP="00675A70">
    <w:pPr>
      <w:pStyle w:val="p"/>
      <w:shd w:val="clear" w:color="auto" w:fill="FFFFFF"/>
      <w:spacing w:before="166" w:beforeAutospacing="0" w:after="166" w:afterAutospacing="0" w:line="480" w:lineRule="auto"/>
    </w:pPr>
    <w:r w:rsidRPr="00B03305">
      <w:t>BLOOD CONTAMINATION</w:t>
    </w:r>
    <w:r>
      <w:tab/>
    </w:r>
    <w:r>
      <w:tab/>
    </w:r>
    <w:r>
      <w:tab/>
    </w:r>
    <w:r>
      <w:tab/>
    </w:r>
    <w:r>
      <w:tab/>
    </w:r>
    <w:r>
      <w:tab/>
    </w:r>
    <w:r>
      <w:tab/>
    </w:r>
    <w:r>
      <w:tab/>
      <w:t xml:space="preserve">          </w:t>
    </w:r>
    <w:sdt>
      <w:sdtPr>
        <w:id w:val="9293197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22D80">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FE8BC0" w14:textId="77777777" w:rsidR="00675A70" w:rsidRPr="00675A70" w:rsidRDefault="00603E05">
    <w:pPr>
      <w:pStyle w:val="Header"/>
      <w:rPr>
        <w:rFonts w:ascii="Times New Roman" w:hAnsi="Times New Roman" w:cs="Times New Roman"/>
        <w:sz w:val="24"/>
        <w:szCs w:val="24"/>
      </w:rPr>
    </w:pPr>
    <w:r w:rsidRPr="00675A70">
      <w:rPr>
        <w:rFonts w:ascii="Times New Roman" w:hAnsi="Times New Roman" w:cs="Times New Roman"/>
        <w:sz w:val="24"/>
        <w:szCs w:val="24"/>
      </w:rPr>
      <w:t>Running head: BLOOD CONTAMINATION</w:t>
    </w:r>
    <w:r w:rsidRPr="00675A70">
      <w:rPr>
        <w:rFonts w:ascii="Times New Roman" w:hAnsi="Times New Roman" w:cs="Times New Roman"/>
        <w:sz w:val="24"/>
        <w:szCs w:val="24"/>
      </w:rPr>
      <w:tab/>
    </w:r>
    <w:r w:rsidRPr="00675A7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EC"/>
    <w:rsid w:val="00195651"/>
    <w:rsid w:val="00324D22"/>
    <w:rsid w:val="004375EC"/>
    <w:rsid w:val="00603E05"/>
    <w:rsid w:val="006D0312"/>
    <w:rsid w:val="006E2DB6"/>
    <w:rsid w:val="007754F0"/>
    <w:rsid w:val="00B003DF"/>
    <w:rsid w:val="00BF1F56"/>
    <w:rsid w:val="00C758EE"/>
    <w:rsid w:val="00D22D80"/>
    <w:rsid w:val="00F13130"/>
    <w:rsid w:val="00FB1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57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45776"/>
    <w:rPr>
      <w:color w:val="0000FF"/>
      <w:u w:val="single"/>
    </w:rPr>
  </w:style>
  <w:style w:type="paragraph" w:customStyle="1" w:styleId="p">
    <w:name w:val="p"/>
    <w:basedOn w:val="Normal"/>
    <w:rsid w:val="00AF21D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75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A70"/>
  </w:style>
  <w:style w:type="paragraph" w:styleId="Footer">
    <w:name w:val="footer"/>
    <w:basedOn w:val="Normal"/>
    <w:link w:val="FooterChar"/>
    <w:uiPriority w:val="99"/>
    <w:unhideWhenUsed/>
    <w:rsid w:val="00675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A70"/>
  </w:style>
  <w:style w:type="paragraph" w:styleId="Bibliography">
    <w:name w:val="Bibliography"/>
    <w:basedOn w:val="Normal"/>
    <w:next w:val="Normal"/>
    <w:uiPriority w:val="37"/>
    <w:unhideWhenUsed/>
    <w:rsid w:val="008A194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24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D2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57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45776"/>
    <w:rPr>
      <w:color w:val="0000FF"/>
      <w:u w:val="single"/>
    </w:rPr>
  </w:style>
  <w:style w:type="paragraph" w:customStyle="1" w:styleId="p">
    <w:name w:val="p"/>
    <w:basedOn w:val="Normal"/>
    <w:rsid w:val="00AF21D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75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A70"/>
  </w:style>
  <w:style w:type="paragraph" w:styleId="Footer">
    <w:name w:val="footer"/>
    <w:basedOn w:val="Normal"/>
    <w:link w:val="FooterChar"/>
    <w:uiPriority w:val="99"/>
    <w:unhideWhenUsed/>
    <w:rsid w:val="00675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A70"/>
  </w:style>
  <w:style w:type="paragraph" w:styleId="Bibliography">
    <w:name w:val="Bibliography"/>
    <w:basedOn w:val="Normal"/>
    <w:next w:val="Normal"/>
    <w:uiPriority w:val="37"/>
    <w:unhideWhenUsed/>
    <w:rsid w:val="008A194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24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D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1388883">
      <w:bodyDiv w:val="1"/>
      <w:marLeft w:val="0"/>
      <w:marRight w:val="0"/>
      <w:marTop w:val="0"/>
      <w:marBottom w:val="0"/>
      <w:divBdr>
        <w:top w:val="none" w:sz="0" w:space="0" w:color="auto"/>
        <w:left w:val="none" w:sz="0" w:space="0" w:color="auto"/>
        <w:bottom w:val="none" w:sz="0" w:space="0" w:color="auto"/>
        <w:right w:val="none" w:sz="0" w:space="0" w:color="auto"/>
      </w:divBdr>
    </w:div>
    <w:div w:id="152398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The111</b:Tag>
    <b:SourceType>Report</b:SourceType>
    <b:Guid>{C19AC151-6D6C-4FAD-AFA5-95D9FBCAB154}</b:Guid>
    <b:Author>
      <b:Author>
        <b:Corporate>The Association of Safe Aseptic Practice (ASAP)</b:Corporate>
      </b:Author>
    </b:Author>
    <b:Title>ANTT Theoretical Framework For Clinical Practice</b:Title>
    <b:Year>2011</b:Year>
    <b:Publisher>The Association of Safe Aseptic Practice (ASAP) </b:Publisher>
    <b:City>London</b:City>
    <b:RefOrder>3</b:RefOrder>
  </b:Source>
  <b:Source>
    <b:Tag>Hal061</b:Tag>
    <b:SourceType>JournalArticle</b:SourceType>
    <b:Guid>{1EA71607-2209-4E01-999C-D8800F8F8F10}</b:Guid>
    <b:Title>Updated review of blood culture contamination</b:Title>
    <b:Year>2006</b:Year>
    <b:Author>
      <b:Author>
        <b:NameList>
          <b:Person>
            <b:Last>Hall</b:Last>
            <b:First>KK</b:First>
          </b:Person>
          <b:Person>
            <b:Last>Lyman </b:Last>
            <b:First>JA. </b:First>
          </b:Person>
        </b:NameList>
      </b:Author>
    </b:Author>
    <b:JournalName>Clin Microbiol Rev</b:JournalName>
    <b:Pages>788–802</b:Pages>
    <b:RefOrder>1</b:RefOrder>
  </b:Source>
  <b:Source>
    <b:Tag>Wed11</b:Tag>
    <b:SourceType>JournalArticle</b:SourceType>
    <b:Guid>{E9B926F0-2522-453B-B4F9-FFF464D1730F}</b:Guid>
    <b:Author>
      <b:Author>
        <b:NameList>
          <b:Person>
            <b:Last>Weddle</b:Last>
            <b:First>G.</b:First>
          </b:Person>
          <b:Person>
            <b:Last>Jackson</b:Last>
            <b:First>MA</b:First>
          </b:Person>
          <b:Person>
            <b:Last>Selvarangan </b:Last>
            <b:First>R.</b:First>
          </b:Person>
        </b:NameList>
      </b:Author>
    </b:Author>
    <b:Title>Reducing blood culture contamination in a pediatric emergency department</b:Title>
    <b:JournalName>Pediatr Emerg Care</b:JournalName>
    <b:Year>2011</b:Year>
    <b:Pages>179–181</b:Pages>
    <b:RefOrder>2</b:RefOrder>
  </b:Source>
</b:Sources>
</file>

<file path=customXml/itemProps1.xml><?xml version="1.0" encoding="utf-8"?>
<ds:datastoreItem xmlns:ds="http://schemas.openxmlformats.org/officeDocument/2006/customXml" ds:itemID="{0374BE16-CA99-429F-930C-51D19A98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Kogigo</dc:creator>
  <cp:lastModifiedBy>Office</cp:lastModifiedBy>
  <cp:revision>8</cp:revision>
  <dcterms:created xsi:type="dcterms:W3CDTF">2017-10-23T05:43:00Z</dcterms:created>
  <dcterms:modified xsi:type="dcterms:W3CDTF">2017-10-23T06:38:00Z</dcterms:modified>
</cp:coreProperties>
</file>